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668F3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3F0F11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596B904C"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Pr>
          <w:rFonts w:ascii="Arial" w:hAnsi="Arial"/>
        </w:rPr>
        <w:t>1</w:t>
      </w:r>
      <w:r w:rsidRPr="006C1D71">
        <w:rPr>
          <w:rFonts w:ascii="Arial" w:hAnsi="Arial"/>
        </w:rPr>
        <w:t xml:space="preserve">, </w:t>
      </w:r>
      <w:r w:rsidR="00F144E7" w:rsidRPr="00F144E7">
        <w:rPr>
          <w:rFonts w:ascii="Arial" w:hAnsi="Arial"/>
        </w:rPr>
        <w:t>Channel occupancy measurement accuracy on PSCC with CCA</w:t>
      </w:r>
    </w:p>
    <w:p w14:paraId="7007C800" w14:textId="7A466960" w:rsidR="00CF2F36" w:rsidRPr="00516CA2" w:rsidRDefault="00CF2F36" w:rsidP="00D90C89">
      <w:pPr>
        <w:keepNext/>
        <w:keepLines/>
        <w:numPr>
          <w:ilvl w:val="0"/>
          <w:numId w:val="32"/>
        </w:numPr>
        <w:spacing w:after="120"/>
        <w:rPr>
          <w:rFonts w:ascii="Arial" w:hAnsi="Arial" w:cs="Arial"/>
        </w:rPr>
      </w:pPr>
      <w:r>
        <w:rPr>
          <w:rFonts w:ascii="Arial" w:hAnsi="Arial"/>
        </w:rPr>
        <w:t>10.5.</w:t>
      </w:r>
      <w:r w:rsidR="00902260">
        <w:rPr>
          <w:rFonts w:ascii="Arial" w:hAnsi="Arial"/>
        </w:rPr>
        <w:t>6</w:t>
      </w:r>
      <w:r>
        <w:rPr>
          <w:rFonts w:ascii="Arial" w:hAnsi="Arial"/>
        </w:rPr>
        <w:t xml:space="preserve">.2, </w:t>
      </w:r>
      <w:r w:rsidR="00A77D8C" w:rsidRPr="00A77D8C">
        <w:rPr>
          <w:rFonts w:ascii="Arial" w:hAnsi="Arial"/>
        </w:rPr>
        <w:t>Channel occupancy measurement accuracy on SCC with CCA</w:t>
      </w:r>
    </w:p>
    <w:p w14:paraId="2A6DCB9B" w14:textId="7AD1B6B3" w:rsidR="00516CA2" w:rsidRPr="00C165F7" w:rsidRDefault="00516CA2" w:rsidP="00516CA2">
      <w:pPr>
        <w:keepNext/>
        <w:keepLines/>
        <w:numPr>
          <w:ilvl w:val="0"/>
          <w:numId w:val="32"/>
        </w:numPr>
        <w:spacing w:after="120"/>
        <w:rPr>
          <w:rFonts w:ascii="Arial" w:hAnsi="Arial"/>
        </w:rPr>
      </w:pPr>
      <w:r>
        <w:rPr>
          <w:rFonts w:ascii="Arial" w:hAnsi="Arial"/>
        </w:rPr>
        <w:t>11.6.</w:t>
      </w:r>
      <w:r w:rsidR="00902260">
        <w:rPr>
          <w:rFonts w:ascii="Arial" w:hAnsi="Arial"/>
        </w:rPr>
        <w:t>6</w:t>
      </w:r>
      <w:r>
        <w:rPr>
          <w:rFonts w:ascii="Arial" w:hAnsi="Arial"/>
        </w:rPr>
        <w:t xml:space="preserve">.1, </w:t>
      </w:r>
      <w:r w:rsidR="00340894" w:rsidRPr="00340894">
        <w:rPr>
          <w:rFonts w:ascii="Arial" w:hAnsi="Arial"/>
        </w:rPr>
        <w:t>Intra-frequency channel occupancy measurement accuracy on PCC with CCA</w:t>
      </w:r>
    </w:p>
    <w:p w14:paraId="0A17B965" w14:textId="7890A7D3" w:rsidR="00516CA2" w:rsidRPr="00C165F7" w:rsidRDefault="00044AFC" w:rsidP="00C64368">
      <w:pPr>
        <w:keepNext/>
        <w:keepLines/>
        <w:numPr>
          <w:ilvl w:val="0"/>
          <w:numId w:val="32"/>
        </w:numPr>
        <w:spacing w:after="120"/>
        <w:rPr>
          <w:rFonts w:ascii="Arial" w:hAnsi="Arial"/>
        </w:rPr>
      </w:pPr>
      <w:r w:rsidRPr="00044AFC">
        <w:rPr>
          <w:rFonts w:ascii="Arial" w:hAnsi="Arial"/>
        </w:rPr>
        <w:t>11.6.</w:t>
      </w:r>
      <w:r w:rsidR="00902260">
        <w:rPr>
          <w:rFonts w:ascii="Arial" w:hAnsi="Arial"/>
        </w:rPr>
        <w:t>6</w:t>
      </w:r>
      <w:r w:rsidRPr="00044AFC">
        <w:rPr>
          <w:rFonts w:ascii="Arial" w:hAnsi="Arial"/>
        </w:rPr>
        <w:t xml:space="preserve">.2, </w:t>
      </w:r>
      <w:r w:rsidR="002D4A7E" w:rsidRPr="002D4A7E">
        <w:rPr>
          <w:rFonts w:ascii="Arial" w:hAnsi="Arial"/>
        </w:rPr>
        <w:t>Intra-frequency channel occupancy measurement accuracy on SCC with CCA</w:t>
      </w:r>
      <w:r w:rsidR="00516CA2" w:rsidRPr="00C165F7">
        <w:rPr>
          <w:rFonts w:ascii="Arial" w:hAnsi="Arial"/>
        </w:rPr>
        <w:t>  </w:t>
      </w:r>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822C16A" w14:textId="77777777" w:rsidR="00AF3B65" w:rsidRPr="00AF3B65" w:rsidRDefault="00AF3B65" w:rsidP="00AF3B6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AF3B65">
        <w:rPr>
          <w:rFonts w:ascii="Arial" w:eastAsia="Times New Roman" w:hAnsi="Arial"/>
          <w:sz w:val="24"/>
          <w:highlight w:val="lightGray"/>
          <w:lang w:eastAsia="en-GB"/>
        </w:rPr>
        <w:t xml:space="preserve">A.10.5.6.1 </w:t>
      </w:r>
      <w:r w:rsidRPr="00AF3B65">
        <w:rPr>
          <w:rFonts w:ascii="Arial" w:eastAsia="Times New Roman" w:hAnsi="Arial"/>
          <w:sz w:val="24"/>
          <w:highlight w:val="lightGray"/>
          <w:lang w:eastAsia="en-GB"/>
        </w:rPr>
        <w:tab/>
        <w:t xml:space="preserve">Channel occupancy measurement accuracy </w:t>
      </w:r>
      <w:r w:rsidRPr="00AF3B65">
        <w:rPr>
          <w:rFonts w:ascii="Arial" w:eastAsia="Times New Roman" w:hAnsi="Arial"/>
          <w:snapToGrid w:val="0"/>
          <w:sz w:val="24"/>
          <w:highlight w:val="lightGray"/>
          <w:lang w:eastAsia="en-GB"/>
        </w:rPr>
        <w:t xml:space="preserve">on </w:t>
      </w:r>
      <w:r w:rsidRPr="00AF3B65">
        <w:rPr>
          <w:rFonts w:ascii="Arial" w:eastAsia="Times New Roman" w:hAnsi="Arial"/>
          <w:snapToGrid w:val="0"/>
          <w:sz w:val="24"/>
          <w:highlight w:val="lightGray"/>
          <w:lang w:eastAsia="zh-CN"/>
        </w:rPr>
        <w:t>PSCC</w:t>
      </w:r>
      <w:r w:rsidRPr="00AF3B65">
        <w:rPr>
          <w:rFonts w:ascii="Arial" w:eastAsia="Times New Roman" w:hAnsi="Arial"/>
          <w:snapToGrid w:val="0"/>
          <w:sz w:val="24"/>
          <w:highlight w:val="lightGray"/>
          <w:lang w:val="en-US" w:eastAsia="zh-CN"/>
        </w:rPr>
        <w:t xml:space="preserve"> </w:t>
      </w:r>
      <w:r w:rsidRPr="00AF3B65">
        <w:rPr>
          <w:rFonts w:ascii="Arial" w:eastAsia="Times New Roman" w:hAnsi="Arial"/>
          <w:snapToGrid w:val="0"/>
          <w:sz w:val="24"/>
          <w:highlight w:val="lightGray"/>
          <w:lang w:eastAsia="en-GB"/>
        </w:rPr>
        <w:t>with CCA</w:t>
      </w:r>
    </w:p>
    <w:p w14:paraId="5862BEE5"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A.10.5.6.1.1</w:t>
      </w:r>
      <w:r w:rsidRPr="00AF3B65">
        <w:rPr>
          <w:rFonts w:ascii="Arial" w:eastAsia="Times New Roman" w:hAnsi="Arial"/>
          <w:sz w:val="22"/>
          <w:highlight w:val="lightGray"/>
          <w:lang w:eastAsia="en-GB"/>
        </w:rPr>
        <w:tab/>
        <w:t>Test Purpose and Environment</w:t>
      </w:r>
    </w:p>
    <w:p w14:paraId="5F424AA8"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The purpose of this test is to verify that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measurement accuracy is within the specified limits. This test will partially verify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measurement accuracy requirements in Section 10.1.35.1.</w:t>
      </w:r>
    </w:p>
    <w:p w14:paraId="0D36E55A"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A.10.5.6.1.2</w:t>
      </w:r>
      <w:r w:rsidRPr="00AF3B65">
        <w:rPr>
          <w:rFonts w:ascii="Arial" w:eastAsia="Times New Roman" w:hAnsi="Arial"/>
          <w:sz w:val="22"/>
          <w:highlight w:val="lightGray"/>
          <w:lang w:eastAsia="en-GB"/>
        </w:rPr>
        <w:tab/>
        <w:t>Test parameters</w:t>
      </w:r>
    </w:p>
    <w:p w14:paraId="0E096AC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In all test cases, Cell 1 is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on a licensed band, and Cell 2 is </w:t>
      </w:r>
      <w:proofErr w:type="spellStart"/>
      <w:r w:rsidRPr="00AF3B65">
        <w:rPr>
          <w:rFonts w:eastAsia="Times New Roman"/>
          <w:highlight w:val="lightGray"/>
          <w:lang w:eastAsia="en-GB"/>
        </w:rPr>
        <w:t>PSCell</w:t>
      </w:r>
      <w:proofErr w:type="spellEnd"/>
      <w:r w:rsidRPr="00AF3B65">
        <w:rPr>
          <w:rFonts w:eastAsia="Times New Roman"/>
          <w:highlight w:val="lightGray"/>
          <w:lang w:eastAsia="en-GB"/>
        </w:rPr>
        <w:t xml:space="preserve"> operating on a carrier frequency under CCA.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is measured on channel number 1. Supported test configurations are shown in table A.10.5.6.1.2-1. The accuracy of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intra-frequency measurements is tested by using the parameters in A.10.5.6.1.2-2 and A.10.5.6.1.2-3. The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setting refers to Table A.3.7.2.1-1.</w:t>
      </w:r>
    </w:p>
    <w:p w14:paraId="1A51961B"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F3B65" w:rsidRPr="00AF3B65" w14:paraId="080106DB" w14:textId="77777777" w:rsidTr="00EC05AC">
        <w:trPr>
          <w:trHeight w:val="274"/>
          <w:jc w:val="center"/>
        </w:trPr>
        <w:tc>
          <w:tcPr>
            <w:tcW w:w="1631" w:type="dxa"/>
            <w:shd w:val="clear" w:color="auto" w:fill="auto"/>
          </w:tcPr>
          <w:p w14:paraId="46F846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Configuration</w:t>
            </w:r>
          </w:p>
        </w:tc>
        <w:tc>
          <w:tcPr>
            <w:tcW w:w="5877" w:type="dxa"/>
            <w:shd w:val="clear" w:color="auto" w:fill="auto"/>
          </w:tcPr>
          <w:p w14:paraId="3DB29B6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Description</w:t>
            </w:r>
          </w:p>
        </w:tc>
      </w:tr>
      <w:tr w:rsidR="00AF3B65" w:rsidRPr="00AF3B65" w14:paraId="0F88302D" w14:textId="77777777" w:rsidTr="00EC05AC">
        <w:trPr>
          <w:trHeight w:val="274"/>
          <w:jc w:val="center"/>
        </w:trPr>
        <w:tc>
          <w:tcPr>
            <w:tcW w:w="1631" w:type="dxa"/>
            <w:shd w:val="clear" w:color="auto" w:fill="auto"/>
          </w:tcPr>
          <w:p w14:paraId="2A70AEC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1</w:t>
            </w:r>
          </w:p>
        </w:tc>
        <w:tc>
          <w:tcPr>
            <w:tcW w:w="5877" w:type="dxa"/>
            <w:shd w:val="clear" w:color="auto" w:fill="auto"/>
          </w:tcPr>
          <w:p w14:paraId="3FED595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FDD; NR: TDD, SSB SCS 30 kHz, data SCS 30 kHz, BW 40 MHz</w:t>
            </w:r>
          </w:p>
        </w:tc>
      </w:tr>
      <w:tr w:rsidR="00AF3B65" w:rsidRPr="00AF3B65" w14:paraId="45856AD2" w14:textId="77777777" w:rsidTr="00EC05AC">
        <w:trPr>
          <w:trHeight w:val="274"/>
          <w:jc w:val="center"/>
        </w:trPr>
        <w:tc>
          <w:tcPr>
            <w:tcW w:w="1631" w:type="dxa"/>
            <w:shd w:val="clear" w:color="auto" w:fill="auto"/>
          </w:tcPr>
          <w:p w14:paraId="76ACE73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2</w:t>
            </w:r>
          </w:p>
        </w:tc>
        <w:tc>
          <w:tcPr>
            <w:tcW w:w="5877" w:type="dxa"/>
            <w:shd w:val="clear" w:color="auto" w:fill="auto"/>
          </w:tcPr>
          <w:p w14:paraId="622F240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TDD; NR: TDD, SSB SCS 30 kHz, data SCS 30 kHz, BW 40 MHz</w:t>
            </w:r>
          </w:p>
        </w:tc>
      </w:tr>
      <w:tr w:rsidR="00AF3B65" w:rsidRPr="00AF3B65" w14:paraId="37FDF74F" w14:textId="77777777" w:rsidTr="00EC05AC">
        <w:trPr>
          <w:trHeight w:val="274"/>
          <w:jc w:val="center"/>
        </w:trPr>
        <w:tc>
          <w:tcPr>
            <w:tcW w:w="7508" w:type="dxa"/>
            <w:gridSpan w:val="2"/>
            <w:shd w:val="clear" w:color="auto" w:fill="auto"/>
          </w:tcPr>
          <w:p w14:paraId="2A5FCB10" w14:textId="77777777" w:rsidR="00AF3B65" w:rsidRPr="00AF3B65" w:rsidRDefault="00AF3B65" w:rsidP="00AF3B6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F3B65">
              <w:rPr>
                <w:rFonts w:ascii="Arial" w:eastAsia="Times New Roman" w:hAnsi="Arial"/>
                <w:sz w:val="18"/>
                <w:highlight w:val="lightGray"/>
                <w:lang w:eastAsia="zh-TW"/>
              </w:rPr>
              <w:t>NOTE:</w:t>
            </w:r>
            <w:r w:rsidRPr="00AF3B65">
              <w:rPr>
                <w:rFonts w:ascii="Arial" w:eastAsia="Times New Roman" w:hAnsi="Arial"/>
                <w:sz w:val="18"/>
                <w:highlight w:val="lightGray"/>
                <w:lang w:eastAsia="zh-TW"/>
              </w:rPr>
              <w:tab/>
              <w:t>The UE is only required to pass in one of the supported test configurations above.</w:t>
            </w:r>
          </w:p>
        </w:tc>
      </w:tr>
    </w:tbl>
    <w:p w14:paraId="25056B0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BE73FB5"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AF3B65" w:rsidRPr="00AF3B65" w14:paraId="29DB67B8" w14:textId="77777777" w:rsidTr="00EC05AC">
        <w:trPr>
          <w:cantSplit/>
          <w:jc w:val="center"/>
        </w:trPr>
        <w:tc>
          <w:tcPr>
            <w:tcW w:w="4225" w:type="dxa"/>
            <w:gridSpan w:val="2"/>
            <w:vMerge w:val="restart"/>
            <w:vAlign w:val="center"/>
          </w:tcPr>
          <w:p w14:paraId="5183F8F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lastRenderedPageBreak/>
              <w:t>Parameter</w:t>
            </w:r>
          </w:p>
        </w:tc>
        <w:tc>
          <w:tcPr>
            <w:tcW w:w="1260" w:type="dxa"/>
            <w:vMerge w:val="restart"/>
            <w:vAlign w:val="center"/>
          </w:tcPr>
          <w:p w14:paraId="4EF3F3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Configurations</w:t>
            </w:r>
          </w:p>
        </w:tc>
        <w:tc>
          <w:tcPr>
            <w:tcW w:w="1260" w:type="dxa"/>
            <w:vMerge w:val="restart"/>
            <w:vAlign w:val="center"/>
          </w:tcPr>
          <w:p w14:paraId="7FDFBC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Unit</w:t>
            </w:r>
          </w:p>
        </w:tc>
        <w:tc>
          <w:tcPr>
            <w:tcW w:w="2187" w:type="dxa"/>
            <w:vAlign w:val="center"/>
          </w:tcPr>
          <w:p w14:paraId="455A07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Test 1</w:t>
            </w:r>
          </w:p>
        </w:tc>
      </w:tr>
      <w:tr w:rsidR="00AF3B65" w:rsidRPr="00AF3B65" w14:paraId="69D145FB" w14:textId="77777777" w:rsidTr="00EC05AC">
        <w:trPr>
          <w:cantSplit/>
          <w:jc w:val="center"/>
        </w:trPr>
        <w:tc>
          <w:tcPr>
            <w:tcW w:w="4225" w:type="dxa"/>
            <w:gridSpan w:val="2"/>
            <w:vMerge/>
            <w:vAlign w:val="center"/>
          </w:tcPr>
          <w:p w14:paraId="6126BB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25E5F78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2557F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519CCC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Cell 2</w:t>
            </w:r>
          </w:p>
        </w:tc>
      </w:tr>
      <w:tr w:rsidR="00AF3B65" w:rsidRPr="00AF3B65" w14:paraId="41AD8247" w14:textId="77777777" w:rsidTr="00EC05AC">
        <w:trPr>
          <w:trHeight w:val="20"/>
          <w:jc w:val="center"/>
        </w:trPr>
        <w:tc>
          <w:tcPr>
            <w:tcW w:w="4225" w:type="dxa"/>
            <w:gridSpan w:val="2"/>
            <w:vAlign w:val="center"/>
          </w:tcPr>
          <w:p w14:paraId="1C76A9A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AF3B65">
              <w:rPr>
                <w:rFonts w:ascii="Arial" w:eastAsia="Times New Roman" w:hAnsi="Arial" w:cs="Arial"/>
                <w:sz w:val="18"/>
                <w:highlight w:val="lightGray"/>
                <w:lang w:val="sv-FI" w:eastAsia="ja-JP"/>
              </w:rPr>
              <w:t>RF Channel Number</w:t>
            </w:r>
          </w:p>
        </w:tc>
        <w:tc>
          <w:tcPr>
            <w:tcW w:w="1260" w:type="dxa"/>
            <w:vAlign w:val="center"/>
          </w:tcPr>
          <w:p w14:paraId="0F57C5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354B807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2C8D3EC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w:t>
            </w:r>
          </w:p>
        </w:tc>
      </w:tr>
      <w:tr w:rsidR="00AF3B65" w:rsidRPr="00AF3B65" w14:paraId="0C05F111" w14:textId="77777777" w:rsidTr="00EC05AC">
        <w:trPr>
          <w:trHeight w:val="20"/>
          <w:jc w:val="center"/>
        </w:trPr>
        <w:tc>
          <w:tcPr>
            <w:tcW w:w="4225" w:type="dxa"/>
            <w:gridSpan w:val="2"/>
            <w:vAlign w:val="center"/>
          </w:tcPr>
          <w:p w14:paraId="386BA3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sz w:val="18"/>
                <w:highlight w:val="lightGray"/>
                <w:lang w:eastAsia="ja-JP"/>
              </w:rPr>
              <w:t>BW</w:t>
            </w:r>
            <w:r w:rsidRPr="00AF3B65">
              <w:rPr>
                <w:rFonts w:ascii="Arial" w:eastAsia="Times New Roman" w:hAnsi="Arial" w:cs="Arial"/>
                <w:sz w:val="18"/>
                <w:highlight w:val="lightGray"/>
                <w:vertAlign w:val="subscript"/>
                <w:lang w:eastAsia="ja-JP"/>
              </w:rPr>
              <w:t>channel</w:t>
            </w:r>
            <w:proofErr w:type="spellEnd"/>
          </w:p>
        </w:tc>
        <w:tc>
          <w:tcPr>
            <w:tcW w:w="1260" w:type="dxa"/>
            <w:vAlign w:val="center"/>
          </w:tcPr>
          <w:p w14:paraId="146E363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3217A5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MHz</w:t>
            </w:r>
          </w:p>
        </w:tc>
        <w:tc>
          <w:tcPr>
            <w:tcW w:w="2187" w:type="dxa"/>
            <w:vAlign w:val="center"/>
          </w:tcPr>
          <w:p w14:paraId="16606B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40</w:t>
            </w:r>
          </w:p>
        </w:tc>
      </w:tr>
      <w:tr w:rsidR="00AF3B65" w:rsidRPr="00AF3B65" w14:paraId="60B8781C" w14:textId="77777777" w:rsidTr="00EC05AC">
        <w:trPr>
          <w:trHeight w:val="20"/>
          <w:jc w:val="center"/>
        </w:trPr>
        <w:tc>
          <w:tcPr>
            <w:tcW w:w="2112" w:type="dxa"/>
            <w:vMerge w:val="restart"/>
            <w:vAlign w:val="center"/>
          </w:tcPr>
          <w:p w14:paraId="5AFDE30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SSB configuration</w:t>
            </w:r>
          </w:p>
        </w:tc>
        <w:tc>
          <w:tcPr>
            <w:tcW w:w="2113" w:type="dxa"/>
            <w:vAlign w:val="center"/>
          </w:tcPr>
          <w:p w14:paraId="58FC6DA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Semi-static channel access </w:t>
            </w:r>
            <w:r w:rsidRPr="00AF3B65">
              <w:rPr>
                <w:rFonts w:ascii="Arial" w:eastAsia="Times New Roman" w:hAnsi="Arial" w:cs="Arial"/>
                <w:sz w:val="18"/>
                <w:highlight w:val="lightGray"/>
                <w:vertAlign w:val="superscript"/>
                <w:lang w:eastAsia="ja-JP"/>
              </w:rPr>
              <w:t>Note 1, 3</w:t>
            </w:r>
          </w:p>
          <w:p w14:paraId="6708344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40CB5F7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551B1F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C8F34A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SSB.1 CCA</w:t>
            </w:r>
          </w:p>
          <w:p w14:paraId="6CE322B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9EAA4B2" w14:textId="77777777" w:rsidTr="00EC05AC">
        <w:trPr>
          <w:trHeight w:val="20"/>
          <w:jc w:val="center"/>
        </w:trPr>
        <w:tc>
          <w:tcPr>
            <w:tcW w:w="2112" w:type="dxa"/>
            <w:vMerge/>
            <w:vAlign w:val="center"/>
          </w:tcPr>
          <w:p w14:paraId="1FE4C71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26B61C3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Dynamic channel access</w:t>
            </w:r>
            <w:r w:rsidRPr="00AF3B65">
              <w:rPr>
                <w:rFonts w:ascii="Arial" w:eastAsia="Times New Roman" w:hAnsi="Arial" w:cs="Arial"/>
                <w:sz w:val="18"/>
                <w:highlight w:val="lightGray"/>
                <w:vertAlign w:val="superscript"/>
                <w:lang w:eastAsia="ja-JP"/>
              </w:rPr>
              <w:t xml:space="preserve"> Note 2, 3</w:t>
            </w:r>
          </w:p>
        </w:tc>
        <w:tc>
          <w:tcPr>
            <w:tcW w:w="1260" w:type="dxa"/>
            <w:vAlign w:val="center"/>
          </w:tcPr>
          <w:p w14:paraId="33661F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6FC2668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FE522D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SSB.2 CCA</w:t>
            </w:r>
          </w:p>
          <w:p w14:paraId="6476501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5AAF96C" w14:textId="77777777" w:rsidTr="00EC05AC">
        <w:trPr>
          <w:trHeight w:val="20"/>
          <w:jc w:val="center"/>
        </w:trPr>
        <w:tc>
          <w:tcPr>
            <w:tcW w:w="4225" w:type="dxa"/>
            <w:gridSpan w:val="2"/>
            <w:vAlign w:val="center"/>
          </w:tcPr>
          <w:p w14:paraId="29BD18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CCA_DL</w:t>
            </w:r>
          </w:p>
        </w:tc>
        <w:tc>
          <w:tcPr>
            <w:tcW w:w="1260" w:type="dxa"/>
          </w:tcPr>
          <w:p w14:paraId="5663DBE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FF7D80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22662D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0.9375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 0.75 (Note 2, 3)</w:t>
            </w:r>
          </w:p>
        </w:tc>
      </w:tr>
      <w:tr w:rsidR="00AF3B65" w:rsidRPr="00AF3B65" w14:paraId="76CCD08A" w14:textId="77777777" w:rsidTr="00EC05AC">
        <w:trPr>
          <w:trHeight w:val="20"/>
          <w:jc w:val="center"/>
        </w:trPr>
        <w:tc>
          <w:tcPr>
            <w:tcW w:w="4225" w:type="dxa"/>
            <w:gridSpan w:val="2"/>
            <w:vAlign w:val="center"/>
          </w:tcPr>
          <w:p w14:paraId="4B2F6EF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CCA_UL</w:t>
            </w:r>
          </w:p>
        </w:tc>
        <w:tc>
          <w:tcPr>
            <w:tcW w:w="1260" w:type="dxa"/>
          </w:tcPr>
          <w:p w14:paraId="75BFCAB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9D002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0B411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0.87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(Note 2, 3)</w:t>
            </w:r>
          </w:p>
        </w:tc>
      </w:tr>
      <w:tr w:rsidR="00AF3B65" w:rsidRPr="00AF3B65" w14:paraId="7E2CE446" w14:textId="77777777" w:rsidTr="00EC05AC">
        <w:trPr>
          <w:trHeight w:val="20"/>
          <w:jc w:val="center"/>
        </w:trPr>
        <w:tc>
          <w:tcPr>
            <w:tcW w:w="4225" w:type="dxa"/>
            <w:gridSpan w:val="2"/>
            <w:vAlign w:val="center"/>
          </w:tcPr>
          <w:p w14:paraId="2A693F6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DL CCA model</w:t>
            </w:r>
          </w:p>
        </w:tc>
        <w:tc>
          <w:tcPr>
            <w:tcW w:w="1260" w:type="dxa"/>
            <w:vAlign w:val="center"/>
          </w:tcPr>
          <w:p w14:paraId="22B179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D82A6B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843700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specifieed in A.3.26.2.1</w:t>
            </w:r>
          </w:p>
        </w:tc>
      </w:tr>
      <w:tr w:rsidR="00AF3B65" w:rsidRPr="00AF3B65" w14:paraId="06653954" w14:textId="77777777" w:rsidTr="00EC05AC">
        <w:trPr>
          <w:trHeight w:val="20"/>
          <w:jc w:val="center"/>
        </w:trPr>
        <w:tc>
          <w:tcPr>
            <w:tcW w:w="4225" w:type="dxa"/>
            <w:gridSpan w:val="2"/>
            <w:vAlign w:val="center"/>
          </w:tcPr>
          <w:p w14:paraId="1B3E52A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UL CCA model</w:t>
            </w:r>
          </w:p>
        </w:tc>
        <w:tc>
          <w:tcPr>
            <w:tcW w:w="1260" w:type="dxa"/>
            <w:vAlign w:val="center"/>
          </w:tcPr>
          <w:p w14:paraId="40F6C3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5C1E96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0B24307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specified in A.3.26.2.2</w:t>
            </w:r>
          </w:p>
        </w:tc>
      </w:tr>
      <w:tr w:rsidR="00AF3B65" w:rsidRPr="00AF3B65" w14:paraId="57DF551A"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5500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BEF66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2E12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object w:dxaOrig="460" w:dyaOrig="340" w14:anchorId="1D71A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8" o:title=""/>
                </v:shape>
                <o:OLEObject Type="Embed" ProgID="Equation.3" ShapeID="_x0000_i1025" DrawAspect="Content" ObjectID="_1785706110"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4493097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Same as channel access bandwidth</w:t>
            </w:r>
          </w:p>
        </w:tc>
      </w:tr>
      <w:tr w:rsidR="00AF3B65" w:rsidRPr="00AF3B65" w14:paraId="258995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DD0A0B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7B321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15C68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46E463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20</w:t>
            </w:r>
          </w:p>
        </w:tc>
      </w:tr>
      <w:tr w:rsidR="00AF3B65" w:rsidRPr="00AF3B65" w14:paraId="2EFE40FD"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A3F45C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864541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FA88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AF3B65">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754D3BD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Not Applicable</w:t>
            </w:r>
          </w:p>
        </w:tc>
      </w:tr>
      <w:tr w:rsidR="00AF3B65" w:rsidRPr="00AF3B65" w14:paraId="60D868C5" w14:textId="77777777" w:rsidTr="00EC05AC">
        <w:trPr>
          <w:trHeight w:val="575"/>
          <w:jc w:val="center"/>
        </w:trPr>
        <w:tc>
          <w:tcPr>
            <w:tcW w:w="4225" w:type="dxa"/>
            <w:gridSpan w:val="2"/>
            <w:vAlign w:val="center"/>
          </w:tcPr>
          <w:p w14:paraId="6B0FEA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PDSCH Reference measurement channel </w:t>
            </w:r>
          </w:p>
        </w:tc>
        <w:tc>
          <w:tcPr>
            <w:tcW w:w="1260" w:type="dxa"/>
            <w:vAlign w:val="center"/>
          </w:tcPr>
          <w:p w14:paraId="5C9B5A6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E79BF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656892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SR.1.1 CCA</w:t>
            </w:r>
          </w:p>
        </w:tc>
      </w:tr>
      <w:tr w:rsidR="00AF3B65" w:rsidRPr="00AF3B65" w14:paraId="269DF1A2" w14:textId="77777777" w:rsidTr="00EC05AC">
        <w:trPr>
          <w:trHeight w:val="414"/>
          <w:jc w:val="center"/>
        </w:trPr>
        <w:tc>
          <w:tcPr>
            <w:tcW w:w="4225" w:type="dxa"/>
            <w:gridSpan w:val="2"/>
            <w:vAlign w:val="center"/>
          </w:tcPr>
          <w:p w14:paraId="693831F8"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v5.0.0"/>
                <w:sz w:val="18"/>
                <w:highlight w:val="lightGray"/>
                <w:lang w:eastAsia="en-GB"/>
              </w:rPr>
              <w:t>RMSI CORESET Reference Channel</w:t>
            </w:r>
          </w:p>
        </w:tc>
        <w:tc>
          <w:tcPr>
            <w:tcW w:w="1260" w:type="dxa"/>
            <w:vAlign w:val="center"/>
          </w:tcPr>
          <w:p w14:paraId="2BE1E0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36398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6ECF6D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CR.1.1 CCA</w:t>
            </w:r>
          </w:p>
        </w:tc>
      </w:tr>
      <w:tr w:rsidR="00AF3B65" w:rsidRPr="00AF3B65" w14:paraId="0D76F17E" w14:textId="77777777" w:rsidTr="00EC05AC">
        <w:trPr>
          <w:trHeight w:val="414"/>
          <w:jc w:val="center"/>
        </w:trPr>
        <w:tc>
          <w:tcPr>
            <w:tcW w:w="4225" w:type="dxa"/>
            <w:gridSpan w:val="2"/>
            <w:vAlign w:val="center"/>
          </w:tcPr>
          <w:p w14:paraId="144BAA1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v5.0.0"/>
                <w:sz w:val="18"/>
                <w:highlight w:val="lightGray"/>
                <w:lang w:eastAsia="en-GB"/>
              </w:rPr>
              <w:t>Dedicated CORESET Reference Channel</w:t>
            </w:r>
          </w:p>
        </w:tc>
        <w:tc>
          <w:tcPr>
            <w:tcW w:w="1260" w:type="dxa"/>
            <w:vAlign w:val="center"/>
          </w:tcPr>
          <w:p w14:paraId="35C937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356BF1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1EDDE5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CCR.1.1 CCA</w:t>
            </w:r>
          </w:p>
        </w:tc>
      </w:tr>
      <w:tr w:rsidR="00AF3B65" w:rsidRPr="00AF3B65" w14:paraId="7157E55B" w14:textId="77777777" w:rsidTr="00EC05AC">
        <w:trPr>
          <w:trHeight w:val="20"/>
          <w:jc w:val="center"/>
        </w:trPr>
        <w:tc>
          <w:tcPr>
            <w:tcW w:w="4225" w:type="dxa"/>
            <w:gridSpan w:val="2"/>
            <w:vAlign w:val="center"/>
          </w:tcPr>
          <w:p w14:paraId="271B325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OCNG Patterns</w:t>
            </w:r>
          </w:p>
        </w:tc>
        <w:tc>
          <w:tcPr>
            <w:tcW w:w="1260" w:type="dxa"/>
            <w:vAlign w:val="center"/>
          </w:tcPr>
          <w:p w14:paraId="5967C7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D4E9F9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C4E427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AF3B65">
              <w:rPr>
                <w:rFonts w:ascii="Arial" w:eastAsia="Times New Roman" w:hAnsi="Arial"/>
                <w:sz w:val="18"/>
                <w:szCs w:val="16"/>
                <w:highlight w:val="lightGray"/>
                <w:lang w:eastAsia="ja-JP"/>
              </w:rPr>
              <w:t>OP.1</w:t>
            </w:r>
          </w:p>
        </w:tc>
      </w:tr>
      <w:tr w:rsidR="00AF3B65" w:rsidRPr="00AF3B65" w14:paraId="32BD464D" w14:textId="77777777" w:rsidTr="00EC05AC">
        <w:trPr>
          <w:trHeight w:val="20"/>
          <w:jc w:val="center"/>
        </w:trPr>
        <w:tc>
          <w:tcPr>
            <w:tcW w:w="4225" w:type="dxa"/>
            <w:gridSpan w:val="2"/>
            <w:vAlign w:val="center"/>
          </w:tcPr>
          <w:p w14:paraId="5406BB02"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21412BB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5C38071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6C73F85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0</w:t>
            </w:r>
          </w:p>
          <w:p w14:paraId="380BAB7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8D36145" w14:textId="77777777" w:rsidTr="00EC05AC">
        <w:trPr>
          <w:trHeight w:val="20"/>
          <w:jc w:val="center"/>
        </w:trPr>
        <w:tc>
          <w:tcPr>
            <w:tcW w:w="4225" w:type="dxa"/>
            <w:gridSpan w:val="2"/>
            <w:vAlign w:val="center"/>
          </w:tcPr>
          <w:p w14:paraId="223EC4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5D07212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58EA2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FE60C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75D015D" w14:textId="77777777" w:rsidTr="00EC05AC">
        <w:trPr>
          <w:trHeight w:val="20"/>
          <w:jc w:val="center"/>
        </w:trPr>
        <w:tc>
          <w:tcPr>
            <w:tcW w:w="4225" w:type="dxa"/>
            <w:gridSpan w:val="2"/>
            <w:vAlign w:val="center"/>
          </w:tcPr>
          <w:p w14:paraId="1047901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246EF3F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4F92BE2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4B967D9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70378A1" w14:textId="77777777" w:rsidTr="00EC05AC">
        <w:trPr>
          <w:trHeight w:val="20"/>
          <w:jc w:val="center"/>
        </w:trPr>
        <w:tc>
          <w:tcPr>
            <w:tcW w:w="4225" w:type="dxa"/>
            <w:gridSpan w:val="2"/>
            <w:vAlign w:val="center"/>
          </w:tcPr>
          <w:p w14:paraId="760A42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2978A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AA2CE7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2D6D70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D98C3FC" w14:textId="77777777" w:rsidTr="00EC05AC">
        <w:trPr>
          <w:trHeight w:val="20"/>
          <w:jc w:val="center"/>
        </w:trPr>
        <w:tc>
          <w:tcPr>
            <w:tcW w:w="4225" w:type="dxa"/>
            <w:gridSpan w:val="2"/>
            <w:vAlign w:val="center"/>
          </w:tcPr>
          <w:p w14:paraId="4B378E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D5BA91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07353B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35F64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ADA22AA" w14:textId="77777777" w:rsidTr="00EC05AC">
        <w:trPr>
          <w:trHeight w:val="20"/>
          <w:jc w:val="center"/>
        </w:trPr>
        <w:tc>
          <w:tcPr>
            <w:tcW w:w="4225" w:type="dxa"/>
            <w:gridSpan w:val="2"/>
            <w:vAlign w:val="center"/>
          </w:tcPr>
          <w:p w14:paraId="38A3496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B42D5D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E13985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0C905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15307B32" w14:textId="77777777" w:rsidTr="00EC05AC">
        <w:trPr>
          <w:trHeight w:val="20"/>
          <w:jc w:val="center"/>
        </w:trPr>
        <w:tc>
          <w:tcPr>
            <w:tcW w:w="4225" w:type="dxa"/>
            <w:gridSpan w:val="2"/>
            <w:vAlign w:val="center"/>
          </w:tcPr>
          <w:p w14:paraId="2D70AE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6D4B75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98AB43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1931590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798B87B5" w14:textId="77777777" w:rsidTr="00EC05AC">
        <w:trPr>
          <w:trHeight w:val="20"/>
          <w:jc w:val="center"/>
        </w:trPr>
        <w:tc>
          <w:tcPr>
            <w:tcW w:w="4225" w:type="dxa"/>
            <w:gridSpan w:val="2"/>
            <w:vAlign w:val="center"/>
          </w:tcPr>
          <w:p w14:paraId="7FF2DBF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OCNG DMRS to </w:t>
            </w:r>
            <w:proofErr w:type="gramStart"/>
            <w:r w:rsidRPr="00AF3B65">
              <w:rPr>
                <w:rFonts w:ascii="Arial" w:eastAsia="Times New Roman" w:hAnsi="Arial"/>
                <w:sz w:val="18"/>
                <w:szCs w:val="18"/>
                <w:highlight w:val="lightGray"/>
                <w:lang w:eastAsia="ja-JP"/>
              </w:rPr>
              <w:t>SSS(</w:t>
            </w:r>
            <w:proofErr w:type="gramEnd"/>
            <w:r w:rsidRPr="00AF3B65">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22EE8D4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4AE5C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01C523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22E492B" w14:textId="77777777" w:rsidTr="00EC05AC">
        <w:trPr>
          <w:trHeight w:val="20"/>
          <w:jc w:val="center"/>
        </w:trPr>
        <w:tc>
          <w:tcPr>
            <w:tcW w:w="4225" w:type="dxa"/>
            <w:gridSpan w:val="2"/>
            <w:vAlign w:val="center"/>
          </w:tcPr>
          <w:p w14:paraId="78E228A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173DAEB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346355B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61DBA3F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EC7B091" w14:textId="77777777" w:rsidTr="00EC05AC">
        <w:trPr>
          <w:trHeight w:val="20"/>
          <w:jc w:val="center"/>
        </w:trPr>
        <w:tc>
          <w:tcPr>
            <w:tcW w:w="4225" w:type="dxa"/>
            <w:gridSpan w:val="2"/>
            <w:vAlign w:val="center"/>
          </w:tcPr>
          <w:p w14:paraId="04B9DBE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9FC563">
                <v:shape id="_x0000_i1026" type="#_x0000_t75" style="width:20.5pt;height:20.5pt" o:ole="" fillcolor="window">
                  <v:imagedata r:id="rId10" o:title=""/>
                </v:shape>
                <o:OLEObject Type="Embed" ProgID="Equation.3" ShapeID="_x0000_i1026" DrawAspect="Content" ObjectID="_1785706111" r:id="rId11"/>
              </w:object>
            </w:r>
            <w:r w:rsidRPr="00AF3B65">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6936DC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78BFA0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Borders>
              <w:top w:val="single" w:sz="4" w:space="0" w:color="auto"/>
            </w:tcBorders>
            <w:vAlign w:val="center"/>
          </w:tcPr>
          <w:p w14:paraId="6A886CE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-106</w:t>
            </w:r>
          </w:p>
        </w:tc>
      </w:tr>
      <w:tr w:rsidR="00AF3B65" w:rsidRPr="00AF3B65" w14:paraId="1AFA65AE" w14:textId="77777777" w:rsidTr="00EC05AC">
        <w:trPr>
          <w:trHeight w:val="20"/>
          <w:jc w:val="center"/>
        </w:trPr>
        <w:tc>
          <w:tcPr>
            <w:tcW w:w="4225" w:type="dxa"/>
            <w:gridSpan w:val="2"/>
            <w:vAlign w:val="center"/>
          </w:tcPr>
          <w:p w14:paraId="1DCD76C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6435A4">
                <v:shape id="_x0000_i1027" type="#_x0000_t75" style="width:20.5pt;height:20.5pt" o:ole="" fillcolor="window">
                  <v:imagedata r:id="rId10" o:title=""/>
                </v:shape>
                <o:OLEObject Type="Embed" ProgID="Equation.3" ShapeID="_x0000_i1027" DrawAspect="Content" ObjectID="_1785706112" r:id="rId12"/>
              </w:object>
            </w:r>
            <w:r w:rsidRPr="00AF3B65">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6E53854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2D5A8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vAlign w:val="center"/>
          </w:tcPr>
          <w:p w14:paraId="07F69D3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0EDCBE72" w14:textId="77777777" w:rsidTr="00EC05AC">
        <w:trPr>
          <w:trHeight w:val="20"/>
          <w:jc w:val="center"/>
        </w:trPr>
        <w:tc>
          <w:tcPr>
            <w:tcW w:w="4225" w:type="dxa"/>
            <w:gridSpan w:val="2"/>
            <w:vAlign w:val="center"/>
          </w:tcPr>
          <w:p w14:paraId="131B931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3E6AA3C7">
                <v:shape id="_x0000_i1028" type="#_x0000_t75" style="width:30.4pt;height:15.5pt" o:ole="" fillcolor="window">
                  <v:imagedata r:id="rId13" o:title=""/>
                </v:shape>
                <o:OLEObject Type="Embed" ProgID="Equation.3" ShapeID="_x0000_i1028" DrawAspect="Content" ObjectID="_1785706113" r:id="rId14"/>
              </w:object>
            </w:r>
            <w:r w:rsidRPr="00AF3B65">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23E77D4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2BDDA0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vAlign w:val="center"/>
          </w:tcPr>
          <w:p w14:paraId="4862BC4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2.5</w:t>
            </w:r>
          </w:p>
        </w:tc>
      </w:tr>
      <w:tr w:rsidR="00AF3B65" w:rsidRPr="00AF3B65" w14:paraId="2148E1E6" w14:textId="77777777" w:rsidTr="00EC05AC">
        <w:trPr>
          <w:trHeight w:val="20"/>
          <w:jc w:val="center"/>
        </w:trPr>
        <w:tc>
          <w:tcPr>
            <w:tcW w:w="4225" w:type="dxa"/>
            <w:gridSpan w:val="2"/>
            <w:vAlign w:val="center"/>
          </w:tcPr>
          <w:p w14:paraId="4582C1B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1C19E2E9">
                <v:shape id="_x0000_i1029" type="#_x0000_t75" style="width:30.4pt;height:15.5pt" o:ole="" fillcolor="window">
                  <v:imagedata r:id="rId13" o:title=""/>
                </v:shape>
                <o:OLEObject Type="Embed" ProgID="Equation.3" ShapeID="_x0000_i1029" DrawAspect="Content" ObjectID="_1785706114" r:id="rId15"/>
              </w:object>
            </w:r>
            <w:r w:rsidRPr="00AF3B65">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444DE9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A852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tcPr>
          <w:p w14:paraId="54D242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5842654" w14:textId="77777777" w:rsidTr="00EC05AC">
        <w:trPr>
          <w:trHeight w:val="20"/>
          <w:jc w:val="center"/>
        </w:trPr>
        <w:tc>
          <w:tcPr>
            <w:tcW w:w="4225" w:type="dxa"/>
            <w:gridSpan w:val="2"/>
            <w:vAlign w:val="center"/>
          </w:tcPr>
          <w:p w14:paraId="040EEE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4BE261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6BC9FA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Pr>
          <w:p w14:paraId="4D45456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-103.5</w:t>
            </w:r>
          </w:p>
        </w:tc>
      </w:tr>
      <w:tr w:rsidR="00AF3B65" w:rsidRPr="00AF3B65" w14:paraId="7C812E24" w14:textId="77777777" w:rsidTr="00EC05AC">
        <w:trPr>
          <w:trHeight w:val="20"/>
          <w:jc w:val="center"/>
        </w:trPr>
        <w:tc>
          <w:tcPr>
            <w:tcW w:w="4225" w:type="dxa"/>
            <w:gridSpan w:val="2"/>
            <w:vAlign w:val="center"/>
          </w:tcPr>
          <w:p w14:paraId="69BF61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6E037E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71A523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7D1F3C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7E4B2F2" w14:textId="77777777" w:rsidTr="00EC05AC">
        <w:trPr>
          <w:trHeight w:val="20"/>
          <w:jc w:val="center"/>
        </w:trPr>
        <w:tc>
          <w:tcPr>
            <w:tcW w:w="4225" w:type="dxa"/>
            <w:gridSpan w:val="2"/>
            <w:vAlign w:val="center"/>
          </w:tcPr>
          <w:p w14:paraId="02D4250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1F9D1A1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68FEC6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11013F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-101.6</w:t>
            </w:r>
          </w:p>
        </w:tc>
      </w:tr>
      <w:tr w:rsidR="00AF3B65" w:rsidRPr="00AF3B65" w14:paraId="11D791DB" w14:textId="77777777" w:rsidTr="00EC05AC">
        <w:trPr>
          <w:trHeight w:val="20"/>
          <w:jc w:val="center"/>
        </w:trPr>
        <w:tc>
          <w:tcPr>
            <w:tcW w:w="4225" w:type="dxa"/>
            <w:gridSpan w:val="2"/>
            <w:vAlign w:val="center"/>
          </w:tcPr>
          <w:p w14:paraId="1BB1E44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1290378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41AE78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5D5B479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7FB1C70B" w14:textId="77777777" w:rsidTr="00EC05AC">
        <w:trPr>
          <w:trHeight w:val="20"/>
          <w:jc w:val="center"/>
        </w:trPr>
        <w:tc>
          <w:tcPr>
            <w:tcW w:w="4225" w:type="dxa"/>
            <w:gridSpan w:val="2"/>
            <w:vAlign w:val="center"/>
          </w:tcPr>
          <w:p w14:paraId="160332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Propagation condition</w:t>
            </w:r>
          </w:p>
        </w:tc>
        <w:tc>
          <w:tcPr>
            <w:tcW w:w="1260" w:type="dxa"/>
            <w:vAlign w:val="center"/>
          </w:tcPr>
          <w:p w14:paraId="13A354F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E7A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w:t>
            </w:r>
          </w:p>
        </w:tc>
        <w:tc>
          <w:tcPr>
            <w:tcW w:w="2187" w:type="dxa"/>
            <w:vAlign w:val="center"/>
          </w:tcPr>
          <w:p w14:paraId="6CBF3D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AWGN</w:t>
            </w:r>
          </w:p>
        </w:tc>
      </w:tr>
      <w:tr w:rsidR="00AF3B65" w:rsidRPr="00AF3B65" w14:paraId="0B7342A5" w14:textId="77777777" w:rsidTr="00EC05AC">
        <w:trPr>
          <w:trHeight w:val="20"/>
          <w:jc w:val="center"/>
        </w:trPr>
        <w:tc>
          <w:tcPr>
            <w:tcW w:w="4225" w:type="dxa"/>
            <w:gridSpan w:val="2"/>
            <w:vAlign w:val="center"/>
          </w:tcPr>
          <w:p w14:paraId="622DE36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Helvetica" w:eastAsia="Times New Roman" w:hAnsi="Helvetica" w:cs="Helvetica"/>
                <w:color w:val="000000"/>
                <w:sz w:val="18"/>
                <w:szCs w:val="18"/>
                <w:highlight w:val="lightGray"/>
                <w:lang w:val="en-US" w:eastAsia="fr-FR"/>
              </w:rPr>
              <w:t>channelOccupancyThreshold</w:t>
            </w:r>
            <w:proofErr w:type="spellEnd"/>
          </w:p>
        </w:tc>
        <w:tc>
          <w:tcPr>
            <w:tcW w:w="1260" w:type="dxa"/>
          </w:tcPr>
          <w:p w14:paraId="157A1B1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86D58E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dBm</w:t>
            </w:r>
          </w:p>
        </w:tc>
        <w:tc>
          <w:tcPr>
            <w:tcW w:w="2187" w:type="dxa"/>
            <w:vAlign w:val="center"/>
          </w:tcPr>
          <w:p w14:paraId="65F88E2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-83</w:t>
            </w:r>
          </w:p>
        </w:tc>
      </w:tr>
      <w:tr w:rsidR="00AF3B65" w:rsidRPr="00AF3B65" w14:paraId="4077FF9F" w14:textId="77777777" w:rsidTr="00EC05AC">
        <w:trPr>
          <w:trHeight w:val="20"/>
          <w:jc w:val="center"/>
        </w:trPr>
        <w:tc>
          <w:tcPr>
            <w:tcW w:w="8932" w:type="dxa"/>
            <w:gridSpan w:val="5"/>
            <w:vAlign w:val="center"/>
          </w:tcPr>
          <w:p w14:paraId="5FD075C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lastRenderedPageBreak/>
              <w:t>Note 1:</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semi-static channel access and network configuring semi-static channel occupancy.</w:t>
            </w:r>
          </w:p>
          <w:p w14:paraId="5B442CB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2:</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dynamic channel access and network configuring dynamic channel occupancy.</w:t>
            </w:r>
          </w:p>
          <w:p w14:paraId="617429E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3:</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569650E6"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FAA7519"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AF3B65" w:rsidRPr="00AF3B65" w14:paraId="363D6FE7" w14:textId="77777777" w:rsidTr="00EC05AC">
        <w:trPr>
          <w:jc w:val="center"/>
        </w:trPr>
        <w:tc>
          <w:tcPr>
            <w:tcW w:w="2534" w:type="dxa"/>
            <w:shd w:val="clear" w:color="auto" w:fill="auto"/>
          </w:tcPr>
          <w:p w14:paraId="295B2F5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measDurationSymbols-r16</w:t>
            </w:r>
          </w:p>
        </w:tc>
        <w:tc>
          <w:tcPr>
            <w:tcW w:w="1685" w:type="dxa"/>
            <w:shd w:val="clear" w:color="auto" w:fill="auto"/>
          </w:tcPr>
          <w:p w14:paraId="2A345F6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sym14or12</w:t>
            </w:r>
          </w:p>
        </w:tc>
      </w:tr>
      <w:tr w:rsidR="00AF3B65" w:rsidRPr="00AF3B65" w14:paraId="7A6303CE" w14:textId="77777777" w:rsidTr="00EC05AC">
        <w:trPr>
          <w:jc w:val="center"/>
        </w:trPr>
        <w:tc>
          <w:tcPr>
            <w:tcW w:w="2534" w:type="dxa"/>
            <w:shd w:val="clear" w:color="auto" w:fill="auto"/>
          </w:tcPr>
          <w:p w14:paraId="6DFAB73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kern w:val="2"/>
                <w:sz w:val="18"/>
                <w:highlight w:val="lightGray"/>
                <w:lang w:eastAsia="ja-JP"/>
              </w:rPr>
              <w:t>rmtc-Periodicity-r16</w:t>
            </w:r>
          </w:p>
        </w:tc>
        <w:tc>
          <w:tcPr>
            <w:tcW w:w="1685" w:type="dxa"/>
            <w:shd w:val="clear" w:color="auto" w:fill="auto"/>
          </w:tcPr>
          <w:p w14:paraId="465307E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ms40</w:t>
            </w:r>
          </w:p>
        </w:tc>
      </w:tr>
      <w:tr w:rsidR="00AF3B65" w:rsidRPr="00AF3B65" w14:paraId="20563C3B" w14:textId="77777777" w:rsidTr="00EC05AC">
        <w:trPr>
          <w:jc w:val="center"/>
        </w:trPr>
        <w:tc>
          <w:tcPr>
            <w:tcW w:w="2534" w:type="dxa"/>
            <w:shd w:val="clear" w:color="auto" w:fill="auto"/>
          </w:tcPr>
          <w:p w14:paraId="4395DC5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rmtc-SubframeOffset-r16</w:t>
            </w:r>
          </w:p>
        </w:tc>
        <w:tc>
          <w:tcPr>
            <w:tcW w:w="1685" w:type="dxa"/>
            <w:shd w:val="clear" w:color="auto" w:fill="auto"/>
          </w:tcPr>
          <w:p w14:paraId="6732BBA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20</w:t>
            </w:r>
          </w:p>
        </w:tc>
      </w:tr>
      <w:tr w:rsidR="00AF3B65" w:rsidRPr="00AF3B65" w14:paraId="53A86F5A" w14:textId="77777777" w:rsidTr="00EC05AC">
        <w:trPr>
          <w:jc w:val="center"/>
        </w:trPr>
        <w:tc>
          <w:tcPr>
            <w:tcW w:w="2534" w:type="dxa"/>
            <w:shd w:val="clear" w:color="auto" w:fill="auto"/>
          </w:tcPr>
          <w:p w14:paraId="2751644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ref-SCS-CP-r16</w:t>
            </w:r>
          </w:p>
        </w:tc>
        <w:tc>
          <w:tcPr>
            <w:tcW w:w="1685" w:type="dxa"/>
            <w:shd w:val="clear" w:color="auto" w:fill="auto"/>
          </w:tcPr>
          <w:p w14:paraId="787FA34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kHz15</w:t>
            </w:r>
          </w:p>
        </w:tc>
      </w:tr>
      <w:tr w:rsidR="00AF3B65" w:rsidRPr="00AF3B65" w14:paraId="003B761A" w14:textId="77777777" w:rsidTr="00EC05AC">
        <w:trPr>
          <w:jc w:val="center"/>
        </w:trPr>
        <w:tc>
          <w:tcPr>
            <w:tcW w:w="2534" w:type="dxa"/>
            <w:shd w:val="clear" w:color="auto" w:fill="auto"/>
          </w:tcPr>
          <w:p w14:paraId="7FC4BA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392CA17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ms120</w:t>
            </w:r>
          </w:p>
        </w:tc>
      </w:tr>
    </w:tbl>
    <w:p w14:paraId="042E8071"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07021CFD"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A.10.5.6.1.3</w:t>
      </w:r>
      <w:r w:rsidRPr="00AF3B65">
        <w:rPr>
          <w:rFonts w:ascii="Arial" w:eastAsia="Times New Roman" w:hAnsi="Arial"/>
          <w:sz w:val="22"/>
          <w:highlight w:val="lightGray"/>
          <w:lang w:eastAsia="en-GB"/>
        </w:rPr>
        <w:tab/>
        <w:t>Test Requirements</w:t>
      </w:r>
    </w:p>
    <w:p w14:paraId="771EBEA7" w14:textId="435DEE47" w:rsidR="00AF3B65" w:rsidRPr="00AF3B65" w:rsidRDefault="00AF3B65" w:rsidP="00AF3B65">
      <w:pPr>
        <w:overflowPunct w:val="0"/>
        <w:autoSpaceDE w:val="0"/>
        <w:autoSpaceDN w:val="0"/>
        <w:adjustRightInd w:val="0"/>
        <w:textAlignment w:val="baseline"/>
        <w:rPr>
          <w:rFonts w:ascii="Times" w:eastAsia="Times New Roman" w:hAnsi="Times" w:cs="Times"/>
          <w:color w:val="000000"/>
          <w:lang w:eastAsia="fr-FR"/>
        </w:rPr>
      </w:pPr>
      <w:r w:rsidRPr="00AF3B65">
        <w:rPr>
          <w:rFonts w:ascii="Times" w:eastAsia="Times New Roman" w:hAnsi="Times" w:cs="Times"/>
          <w:color w:val="000000"/>
          <w:highlight w:val="lightGray"/>
          <w:lang w:eastAsia="fr-FR"/>
        </w:rPr>
        <w:t xml:space="preserve">The nominal reported </w:t>
      </w:r>
      <w:proofErr w:type="spellStart"/>
      <w:r w:rsidRPr="00AF3B65">
        <w:rPr>
          <w:rFonts w:ascii="Times" w:eastAsia="Times New Roman" w:hAnsi="Times" w:cs="Times"/>
          <w:i/>
          <w:iCs/>
          <w:color w:val="000000"/>
          <w:highlight w:val="lightGray"/>
          <w:lang w:eastAsia="fr-FR"/>
        </w:rPr>
        <w:t>channelOccupancy</w:t>
      </w:r>
      <w:proofErr w:type="spellEnd"/>
      <w:r w:rsidRPr="00AF3B65">
        <w:rPr>
          <w:rFonts w:ascii="Times" w:eastAsia="Times New Roman" w:hAnsi="Times" w:cs="Times"/>
          <w:i/>
          <w:iCs/>
          <w:color w:val="000000"/>
          <w:highlight w:val="lightGray"/>
          <w:lang w:eastAsia="fr-FR"/>
        </w:rPr>
        <w:t xml:space="preserve"> s</w:t>
      </w:r>
      <w:r w:rsidRPr="00AF3B65">
        <w:rPr>
          <w:rFonts w:ascii="Times" w:eastAsia="Times New Roman" w:hAnsi="Times" w:cs="Times"/>
          <w:color w:val="000000"/>
          <w:highlight w:val="lightGray"/>
          <w:lang w:eastAsia="fr-FR"/>
        </w:rPr>
        <w:t xml:space="preserve">hall be </w:t>
      </w:r>
      <w:r w:rsidR="00FC3A6C">
        <w:rPr>
          <w:rFonts w:ascii="Times" w:eastAsia="Times New Roman" w:hAnsi="Times" w:cs="Times"/>
          <w:color w:val="000000"/>
          <w:highlight w:val="lightGray"/>
          <w:lang w:eastAsia="fr-FR"/>
        </w:rPr>
        <w:t>100%</w:t>
      </w:r>
      <w:r w:rsidRPr="00AF3B65">
        <w:rPr>
          <w:rFonts w:ascii="Times" w:eastAsia="Times New Roman" w:hAnsi="Times" w:cs="Times"/>
          <w:color w:val="000000"/>
          <w:highlight w:val="lightGray"/>
          <w:lang w:eastAsia="fr-FR"/>
        </w:rPr>
        <w:t>. At least 90% of channel occupancy reports made by the UE shall indicate this value.</w:t>
      </w:r>
    </w:p>
    <w:p w14:paraId="0C00C822" w14:textId="1B0A6DF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573EE2BC"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 xml:space="preserve">Also </w:t>
      </w:r>
      <w:r w:rsidR="00A90662">
        <w:rPr>
          <w:rFonts w:ascii="Arial" w:hAnsi="Arial"/>
          <w:lang w:eastAsia="zh-CN"/>
        </w:rPr>
        <w:t xml:space="preserve"> Channel</w:t>
      </w:r>
      <w:proofErr w:type="gramEnd"/>
      <w:r w:rsidR="00A90662">
        <w:rPr>
          <w:rFonts w:ascii="Arial" w:hAnsi="Arial"/>
          <w:lang w:eastAsia="zh-CN"/>
        </w:rPr>
        <w:t xml:space="preserve">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0ACC83AA"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3B82985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F6170B">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560A20D2"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F6170B">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t>10.1.35</w:t>
      </w:r>
      <w:r w:rsidRPr="00C13633">
        <w:rPr>
          <w:rFonts w:ascii="Arial" w:eastAsia="Times New Roman" w:hAnsi="Arial"/>
          <w:sz w:val="28"/>
          <w:highlight w:val="lightGray"/>
          <w:lang w:eastAsia="zh-CN"/>
        </w:rPr>
        <w:tab/>
        <w:t>Channel occupancy measurements under CCA</w:t>
      </w:r>
    </w:p>
    <w:p w14:paraId="349E482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13633">
        <w:rPr>
          <w:rFonts w:ascii="Arial" w:eastAsia="Times New Roman" w:hAnsi="Arial"/>
          <w:sz w:val="24"/>
          <w:highlight w:val="lightGray"/>
          <w:lang w:eastAsia="en-GB"/>
        </w:rPr>
        <w:t>10.1.35.1</w:t>
      </w:r>
      <w:r w:rsidRPr="00C13633">
        <w:rPr>
          <w:rFonts w:ascii="Arial" w:eastAsia="Times New Roman" w:hAnsi="Arial"/>
          <w:sz w:val="24"/>
          <w:highlight w:val="lightGray"/>
          <w:lang w:eastAsia="en-GB"/>
        </w:rPr>
        <w:tab/>
        <w:t>Intra-frequency channel occupancy measurement accuracy requirements in FR1</w:t>
      </w:r>
    </w:p>
    <w:p w14:paraId="3743CF06" w14:textId="77777777" w:rsidR="00C13633" w:rsidRPr="00C13633" w:rsidRDefault="00C13633" w:rsidP="00C13633">
      <w:pPr>
        <w:overflowPunct w:val="0"/>
        <w:autoSpaceDE w:val="0"/>
        <w:autoSpaceDN w:val="0"/>
        <w:adjustRightInd w:val="0"/>
        <w:textAlignment w:val="baseline"/>
        <w:rPr>
          <w:rFonts w:eastAsia="Times New Roman"/>
          <w:highlight w:val="lightGray"/>
          <w:lang w:eastAsia="zh-CN"/>
        </w:rPr>
      </w:pPr>
      <w:r w:rsidRPr="00C13633">
        <w:rPr>
          <w:rFonts w:eastAsia="Times New Roman"/>
          <w:highlight w:val="lightGray"/>
          <w:lang w:eastAsia="zh-CN"/>
        </w:rPr>
        <w:t>The UE shall be able to correctly evaluate the intra-frequency channel occupancy configured according to TS 38.331 [2], provided that the following conditions are met:</w:t>
      </w:r>
    </w:p>
    <w:p w14:paraId="3F69E981"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All symbols during each RSSI measurement duration are available for RSSI sampling within the same reporting interval,</w:t>
      </w:r>
    </w:p>
    <w:p w14:paraId="5D2FC8E9"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meets the following condition with respect to the configured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 xml:space="preserve"> [2]:</w:t>
      </w:r>
    </w:p>
    <w:p w14:paraId="0D3B84B0"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below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68F4670">
          <v:shape id="_x0000_i1030" type="#_x0000_t75" style="width:25.45pt;height:19.85pt" o:ole="">
            <v:imagedata r:id="rId16" o:title=""/>
          </v:shape>
          <o:OLEObject Type="Embed" ProgID="Equation.3" ShapeID="_x0000_i1030" DrawAspect="Content" ObjectID="_1785706115" r:id="rId17"/>
        </w:object>
      </w:r>
      <w:r w:rsidRPr="00C13633">
        <w:rPr>
          <w:rFonts w:eastAsia="Times New Roman"/>
          <w:highlight w:val="lightGray"/>
          <w:lang w:eastAsia="zh-CN"/>
        </w:rPr>
        <w:t>, or</w:t>
      </w:r>
    </w:p>
    <w:p w14:paraId="3F5E18F2"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above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18E3371">
          <v:shape id="_x0000_i1031" type="#_x0000_t75" style="width:25.45pt;height:19.85pt" o:ole="">
            <v:imagedata r:id="rId18" o:title=""/>
          </v:shape>
          <o:OLEObject Type="Embed" ProgID="Equation.3" ShapeID="_x0000_i1031" DrawAspect="Content" ObjectID="_1785706116" r:id="rId19"/>
        </w:object>
      </w:r>
      <w:r w:rsidRPr="00C13633">
        <w:rPr>
          <w:rFonts w:eastAsia="Times New Roman"/>
          <w:highlight w:val="lightGray"/>
          <w:lang w:eastAsia="zh-CN"/>
        </w:rPr>
        <w:t>,</w:t>
      </w:r>
    </w:p>
    <w:p w14:paraId="17EFE0EC"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en-GB"/>
        </w:rPr>
      </w:pPr>
      <w:r w:rsidRPr="00C13633">
        <w:rPr>
          <w:rFonts w:eastAsia="Times New Roman"/>
          <w:highlight w:val="lightGray"/>
          <w:lang w:eastAsia="zh-CN"/>
        </w:rPr>
        <w:lastRenderedPageBreak/>
        <w:t>-</w:t>
      </w:r>
      <w:r w:rsidRPr="00C13633">
        <w:rPr>
          <w:rFonts w:eastAsia="Times New Roman"/>
          <w:highlight w:val="lightGray"/>
          <w:lang w:eastAsia="zh-CN"/>
        </w:rPr>
        <w:tab/>
        <w:t xml:space="preserve">where </w:t>
      </w:r>
      <w:r w:rsidRPr="00C13633">
        <w:rPr>
          <w:rFonts w:eastAsia="Times New Roman"/>
          <w:position w:val="-12"/>
          <w:highlight w:val="lightGray"/>
          <w:lang w:eastAsia="zh-CN"/>
        </w:rPr>
        <w:object w:dxaOrig="540" w:dyaOrig="360" w14:anchorId="77586085">
          <v:shape id="_x0000_i1032" type="#_x0000_t75" style="width:25.45pt;height:19.85pt" o:ole="">
            <v:imagedata r:id="rId20" o:title=""/>
          </v:shape>
          <o:OLEObject Type="Embed" ProgID="Equation.3" ShapeID="_x0000_i1032" DrawAspect="Content" ObjectID="_1785706117" r:id="rId21"/>
        </w:object>
      </w:r>
      <w:r w:rsidRPr="00C13633">
        <w:rPr>
          <w:rFonts w:eastAsia="Times New Roman"/>
          <w:highlight w:val="lightGray"/>
          <w:lang w:eastAsia="zh-CN"/>
        </w:rPr>
        <w:t xml:space="preserve"> is the applicable RSSI measurement accuracy value from the RSSI measurement accuracy requirements specified in clause </w:t>
      </w:r>
      <w:r w:rsidRPr="00C13633">
        <w:rPr>
          <w:rFonts w:eastAsia="Times New Roman"/>
          <w:highlight w:val="lightGray"/>
          <w:lang w:eastAsia="en-GB"/>
        </w:rPr>
        <w:t>10.1.34.1.</w:t>
      </w:r>
    </w:p>
    <w:p w14:paraId="1818999D" w14:textId="5EB9FFA8" w:rsidR="00C13633" w:rsidRDefault="00C13633" w:rsidP="00C13633">
      <w:pPr>
        <w:overflowPunct w:val="0"/>
        <w:autoSpaceDE w:val="0"/>
        <w:autoSpaceDN w:val="0"/>
        <w:adjustRightInd w:val="0"/>
        <w:textAlignment w:val="baseline"/>
        <w:rPr>
          <w:rFonts w:ascii="Arial" w:hAnsi="Arial"/>
        </w:rPr>
      </w:pPr>
      <w:r w:rsidRPr="00C13633">
        <w:rPr>
          <w:rFonts w:eastAsia="Times New Roman"/>
          <w:highlight w:val="lightGray"/>
          <w:lang w:eastAsia="zh-CN"/>
        </w:rPr>
        <w:t xml:space="preserve">The channel occupancy measurement bandwidth is </w:t>
      </w:r>
      <w:r w:rsidRPr="00C13633">
        <w:rPr>
          <w:rFonts w:eastAsia="Times New Roman"/>
          <w:highlight w:val="lightGray"/>
          <w:lang w:eastAsia="en-GB"/>
        </w:rPr>
        <w:t>the same as the RSSI measurement bandwidth in Clause 10.1.34.1</w:t>
      </w:r>
      <w:r w:rsidRPr="00C13633">
        <w:rPr>
          <w:rFonts w:eastAsia="Times New Roman"/>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2A8C8B4B"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F6170B">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F6170B">
        <w:rPr>
          <w:rFonts w:ascii="Arial" w:hAnsi="Arial"/>
        </w:rPr>
        <w:t>2</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F6170B">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6155F3A9"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F6170B">
        <w:rPr>
          <w:rFonts w:ascii="Arial" w:hAnsi="Arial"/>
        </w:rPr>
        <w:t>2</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536A921A"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F6170B">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lastRenderedPageBreak/>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C76DEA" w14:textId="0F0D8A38" w:rsidR="00E8475B" w:rsidRDefault="00E8475B" w:rsidP="00745FAC">
      <w:pPr>
        <w:autoSpaceDE w:val="0"/>
        <w:autoSpaceDN w:val="0"/>
        <w:adjustRightInd w:val="0"/>
        <w:spacing w:after="60"/>
        <w:rPr>
          <w:rFonts w:ascii="Arial" w:eastAsia="SimSun" w:hAnsi="Arial"/>
          <w:lang w:eastAsia="zh-CN"/>
        </w:rPr>
      </w:pPr>
      <w:r>
        <w:rPr>
          <w:rFonts w:ascii="Arial" w:eastAsia="SimSun" w:hAnsi="Arial"/>
          <w:lang w:eastAsia="zh-CN"/>
        </w:rPr>
        <w:t xml:space="preserve">Since the </w:t>
      </w:r>
      <w:r w:rsidR="008B0A78">
        <w:rPr>
          <w:rFonts w:ascii="Arial" w:eastAsia="SimSun" w:hAnsi="Arial"/>
          <w:lang w:eastAsia="zh-CN"/>
        </w:rPr>
        <w:t xml:space="preserve">channel occupancy is always higher than minimum requirement, </w:t>
      </w:r>
      <w:r w:rsidR="001765C1">
        <w:rPr>
          <w:rFonts w:ascii="Arial" w:eastAsia="SimSun" w:hAnsi="Arial"/>
          <w:lang w:eastAsia="zh-CN"/>
        </w:rPr>
        <w:t xml:space="preserve">UE is expected to report </w:t>
      </w:r>
      <w:proofErr w:type="spellStart"/>
      <w:r w:rsidR="001765C1" w:rsidRPr="001765C1">
        <w:rPr>
          <w:rFonts w:ascii="Arial" w:eastAsia="SimSun" w:hAnsi="Arial"/>
          <w:lang w:eastAsia="zh-CN"/>
        </w:rPr>
        <w:t>channelOccupancy</w:t>
      </w:r>
      <w:proofErr w:type="spellEnd"/>
      <w:r w:rsidR="001765C1" w:rsidRPr="001765C1">
        <w:rPr>
          <w:rFonts w:ascii="Arial" w:eastAsia="SimSun" w:hAnsi="Arial"/>
          <w:lang w:eastAsia="zh-CN"/>
        </w:rPr>
        <w:t xml:space="preserve"> as 100%.</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02A39E22"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NSA test case 10.5.</w:t>
      </w:r>
      <w:r w:rsidR="00EF0ED2">
        <w:rPr>
          <w:rFonts w:ascii="Arial" w:hAnsi="Arial"/>
        </w:rPr>
        <w:t>6</w:t>
      </w:r>
      <w:r>
        <w:rPr>
          <w:rFonts w:ascii="Arial" w:hAnsi="Arial"/>
        </w:rPr>
        <w:t xml:space="preserve">.2 and 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w:t>
      </w:r>
      <w:r w:rsidR="00EF0ED2">
        <w:rPr>
          <w:rFonts w:ascii="Arial" w:hAnsi="Arial"/>
        </w:rPr>
        <w:t>6</w:t>
      </w:r>
      <w:r>
        <w:rPr>
          <w:rFonts w:ascii="Arial" w:hAnsi="Arial"/>
        </w:rPr>
        <w:t>.1,and 11.6.</w:t>
      </w:r>
      <w:r w:rsidR="00EF0ED2">
        <w:rPr>
          <w:rFonts w:ascii="Arial" w:hAnsi="Arial"/>
        </w:rPr>
        <w:t>6</w:t>
      </w:r>
      <w:r>
        <w:rPr>
          <w:rFonts w:ascii="Arial" w:hAnsi="Arial"/>
        </w:rPr>
        <w:t>.2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86BE16" w14:textId="77777777" w:rsidR="003240DF" w:rsidRDefault="003240DF" w:rsidP="00571E38">
      <w:pPr>
        <w:spacing w:after="0"/>
      </w:pPr>
      <w:r>
        <w:separator/>
      </w:r>
    </w:p>
  </w:endnote>
  <w:endnote w:type="continuationSeparator" w:id="0">
    <w:p w14:paraId="39A0CB2B" w14:textId="77777777" w:rsidR="003240DF" w:rsidRDefault="003240D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E059D" w14:textId="77777777" w:rsidR="003240DF" w:rsidRDefault="003240DF" w:rsidP="00571E38">
      <w:pPr>
        <w:spacing w:after="0"/>
      </w:pPr>
      <w:r>
        <w:separator/>
      </w:r>
    </w:p>
  </w:footnote>
  <w:footnote w:type="continuationSeparator" w:id="0">
    <w:p w14:paraId="307DADA6" w14:textId="77777777" w:rsidR="003240DF" w:rsidRDefault="003240D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765C1"/>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40DF"/>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A1"/>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0E"/>
    <w:rsid w:val="006D19C1"/>
    <w:rsid w:val="006D5331"/>
    <w:rsid w:val="006D63DC"/>
    <w:rsid w:val="006D72F4"/>
    <w:rsid w:val="006D7614"/>
    <w:rsid w:val="006E3289"/>
    <w:rsid w:val="006E4977"/>
    <w:rsid w:val="006F052D"/>
    <w:rsid w:val="006F07C9"/>
    <w:rsid w:val="006F2D65"/>
    <w:rsid w:val="006F3CB7"/>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78"/>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36C8B"/>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07F07"/>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239A"/>
    <w:rsid w:val="00E83E51"/>
    <w:rsid w:val="00E8475B"/>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70B"/>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3A6C"/>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2572</Words>
  <Characters>14665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92</cp:revision>
  <dcterms:created xsi:type="dcterms:W3CDTF">2024-01-05T04:19:00Z</dcterms:created>
  <dcterms:modified xsi:type="dcterms:W3CDTF">2024-08-20T18:35:00Z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